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3.jpeg" ContentType="image/jpeg"/>
  <Override PartName="/word/media/image2.wmf" ContentType="image/x-wmf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3810</wp:posOffset>
            </wp:positionH>
            <wp:positionV relativeFrom="paragraph">
              <wp:posOffset>-228600</wp:posOffset>
            </wp:positionV>
            <wp:extent cx="2200275" cy="70548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70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3890010</wp:posOffset>
            </wp:positionH>
            <wp:positionV relativeFrom="paragraph">
              <wp:posOffset>-228600</wp:posOffset>
            </wp:positionV>
            <wp:extent cx="2876550" cy="676910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Cs/>
          <w:smallCaps/>
          <w:sz w:val="36"/>
          <w:szCs w:val="36"/>
        </w:rPr>
      </w:pPr>
      <w:r>
        <w:rPr>
          <w:b/>
          <w:bCs/>
          <w:smallCaps/>
          <w:sz w:val="36"/>
          <w:szCs w:val="36"/>
        </w:rPr>
        <w:t>Atelier Clisthène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sur la pensée et les pratiques des anciens Grecs d'Homère à Platon</w:t>
      </w:r>
    </w:p>
    <w:p>
      <w:pPr>
        <w:pStyle w:val="Normal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Session 2016, 31 mars – 1</w:t>
      </w:r>
      <w:r>
        <w:rPr>
          <w:b/>
          <w:bCs/>
          <w:sz w:val="36"/>
          <w:szCs w:val="36"/>
          <w:vertAlign w:val="superscript"/>
        </w:rPr>
        <w:t>er</w:t>
      </w:r>
      <w:r>
        <w:rPr>
          <w:b/>
          <w:bCs/>
          <w:sz w:val="36"/>
          <w:szCs w:val="36"/>
        </w:rPr>
        <w:t xml:space="preserve"> avril</w:t>
      </w:r>
    </w:p>
    <w:p>
      <w:pPr>
        <w:pStyle w:val="Normal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UFR SLHS Salon Préclin</w:t>
      </w:r>
    </w:p>
    <w:p>
      <w:pPr>
        <w:pStyle w:val="Normal"/>
        <w:jc w:val="center"/>
        <w:rPr>
          <w:bCs/>
          <w:color w:val="222222"/>
          <w:sz w:val="24"/>
          <w:szCs w:val="24"/>
        </w:rPr>
      </w:pPr>
      <w:r>
        <w:rPr>
          <w:bCs/>
          <w:color w:val="222222"/>
          <w:sz w:val="24"/>
          <w:szCs w:val="24"/>
        </w:rPr>
      </w:r>
    </w:p>
    <w:p>
      <w:pPr>
        <w:pStyle w:val="Normal"/>
        <w:jc w:val="center"/>
        <w:rPr>
          <w:bCs/>
          <w:color w:val="222222"/>
          <w:sz w:val="24"/>
          <w:szCs w:val="24"/>
        </w:rPr>
      </w:pPr>
      <w:r>
        <w:rPr>
          <w:bCs/>
          <w:color w:val="222222"/>
          <w:sz w:val="24"/>
          <w:szCs w:val="24"/>
        </w:rPr>
        <w:t>Comité scientifique : Michel Fartzoff, Karin Mackowiak, Arnaud Macé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Logiques de l'Agir EA 2274 &amp; Institut des sciences et techniques de l'Antiquité EA 4011</w:t>
      </w:r>
    </w:p>
    <w:p>
      <w:pPr>
        <w:pStyle w:val="Normal"/>
        <w:jc w:val="center"/>
        <w:rPr>
          <w:sz w:val="24"/>
          <w:szCs w:val="24"/>
        </w:rPr>
      </w:pPr>
      <w:hyperlink r:id="rId4">
        <w:r>
          <w:rPr>
            <w:rStyle w:val="LienInternet"/>
            <w:sz w:val="24"/>
            <w:szCs w:val="24"/>
          </w:rPr>
          <w:t>http://ista.univ-fcomte.fr</w:t>
        </w:r>
      </w:hyperlink>
      <w:r>
        <w:rPr>
          <w:rStyle w:val="LienInternet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 xml:space="preserve">; </w:t>
      </w:r>
      <w:hyperlink r:id="rId5">
        <w:r>
          <w:rPr>
            <w:rStyle w:val="LienInternet"/>
            <w:sz w:val="24"/>
            <w:szCs w:val="24"/>
          </w:rPr>
          <w:t>http://www.philolab-besancon.org/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jc w:val="center"/>
        <w:rPr>
          <w:rStyle w:val="LienInternet"/>
          <w:b w:val="false"/>
          <w:i w:val="false"/>
          <w:caps w:val="false"/>
          <w:smallCaps w:val="false"/>
          <w:color w:val="1155CC"/>
          <w:spacing w:val="0"/>
          <w:sz w:val="24"/>
          <w:szCs w:val="24"/>
        </w:rPr>
      </w:pPr>
      <w:r>
        <w:rPr>
          <w:sz w:val="24"/>
          <w:szCs w:val="24"/>
        </w:rPr>
        <w:t xml:space="preserve">contact : </w:t>
      </w:r>
      <w:hyperlink r:id="rId6">
        <w:r>
          <w:rPr>
            <w:rStyle w:val="LienInternet"/>
            <w:b w:val="false"/>
            <w:i w:val="false"/>
            <w:caps w:val="false"/>
            <w:smallCaps w:val="false"/>
            <w:color w:val="1155CC"/>
            <w:spacing w:val="0"/>
            <w:sz w:val="24"/>
            <w:szCs w:val="24"/>
          </w:rPr>
          <w:t>cleisthenesworkshop@gmail.com</w:t>
        </w:r>
      </w:hyperlink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Jeudi 14h00-15h30</w:t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Nicolo Benzi (Trinity College, Dublin)</w:t>
      </w:r>
    </w:p>
    <w:p>
      <w:pPr>
        <w:pStyle w:val="Normal"/>
        <w:jc w:val="center"/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>The Redefinition of Poetic Authority in Early Greek Philosophical Poetry</w:t>
      </w:r>
    </w:p>
    <w:p>
      <w:pPr>
        <w:pStyle w:val="Normal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Jeudi 15h45-17h15</w:t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Xavier Gheerbrant (Université de Lille 3)</w:t>
      </w:r>
    </w:p>
    <w:p>
      <w:pPr>
        <w:pStyle w:val="Normal"/>
        <w:jc w:val="center"/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>Poétique et vérité chez Empédocle et Pindare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Jeudi 17h30-19h30</w:t>
      </w:r>
    </w:p>
    <w:p>
      <w:pPr>
        <w:pStyle w:val="Normal"/>
        <w:jc w:val="center"/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>Conférence inaugurale</w:t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Suzanne Saïd (University of Columbia/ Université Paris Ouest)</w:t>
      </w:r>
    </w:p>
    <w:p>
      <w:pPr>
        <w:pStyle w:val="Normal"/>
        <w:jc w:val="center"/>
        <w:rPr>
          <w:b w:val="false"/>
          <w:i/>
          <w:iCs/>
          <w:caps w:val="false"/>
          <w:smallCaps w:val="false"/>
          <w:color w:val="000000"/>
          <w:spacing w:val="0"/>
          <w:sz w:val="30"/>
          <w:szCs w:val="30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  <w:sz w:val="30"/>
          <w:szCs w:val="30"/>
        </w:rPr>
        <w:t>Tragédie et histoire : histoire d'une controverse</w:t>
      </w:r>
    </w:p>
    <w:p>
      <w:pPr>
        <w:pStyle w:val="Normal"/>
        <w:ind w:left="0" w:right="0" w:hanging="0"/>
        <w:jc w:val="center"/>
        <w:rPr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30"/>
          <w:szCs w:val="30"/>
        </w:rPr>
      </w:r>
    </w:p>
    <w:p>
      <w:pPr>
        <w:pStyle w:val="Normal"/>
        <w:ind w:left="0" w:right="0" w:hanging="0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Vendredi 9h-10h30</w:t>
      </w:r>
    </w:p>
    <w:p>
      <w:pPr>
        <w:pStyle w:val="Normal"/>
        <w:ind w:left="0" w:right="0" w:hanging="0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Pierre Ponchon (Université Blaise Pascal, Clermont-Ferrand)</w:t>
      </w:r>
    </w:p>
    <w:p>
      <w:pPr>
        <w:pStyle w:val="Normal"/>
        <w:ind w:left="0" w:right="0" w:hanging="0"/>
        <w:jc w:val="center"/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>Héraclite et Thucydide : sur une genèse possible du réalisme politique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Vendredi 10h45-12h15</w:t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Christian Keime (University of Cambridge)</w:t>
      </w:r>
    </w:p>
    <w:p>
      <w:pPr>
        <w:pStyle w:val="Normal"/>
        <w:jc w:val="center"/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 xml:space="preserve">Héraclite et la médecine hippocratique dans le </w:t>
      </w:r>
      <w:r>
        <w:rPr>
          <w:b w:val="false"/>
          <w:i w:val="false"/>
          <w:iCs w:val="false"/>
          <w:caps w:val="false"/>
          <w:smallCaps w:val="false"/>
          <w:color w:val="222222"/>
          <w:spacing w:val="0"/>
          <w:sz w:val="30"/>
          <w:szCs w:val="30"/>
        </w:rPr>
        <w:t>Banquet</w:t>
      </w: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 xml:space="preserve"> de Platon 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Vendredi 14h30-16h30</w:t>
      </w:r>
    </w:p>
    <w:p>
      <w:pPr>
        <w:pStyle w:val="Normal"/>
        <w:jc w:val="center"/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>Conférence de clôture</w:t>
      </w:r>
    </w:p>
    <w:p>
      <w:pPr>
        <w:pStyle w:val="Normal"/>
        <w:jc w:val="center"/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 </w:t>
      </w: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>Paul Demont (Université Paris Sorbonne)</w:t>
      </w:r>
    </w:p>
    <w:p>
      <w:pPr>
        <w:pStyle w:val="Normal"/>
        <w:jc w:val="center"/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</w:pPr>
      <w:r>
        <w:rPr>
          <w:b w:val="false"/>
          <w:i w:val="false"/>
          <w:caps w:val="false"/>
          <w:smallCaps w:val="false"/>
          <w:color w:val="222222"/>
          <w:spacing w:val="0"/>
          <w:sz w:val="30"/>
          <w:szCs w:val="30"/>
        </w:rPr>
        <w:t xml:space="preserve"> </w:t>
      </w:r>
      <w:r>
        <w:rPr>
          <w:b w:val="false"/>
          <w:i/>
          <w:iCs/>
          <w:caps w:val="false"/>
          <w:smallCaps w:val="false"/>
          <w:color w:val="222222"/>
          <w:spacing w:val="0"/>
          <w:sz w:val="30"/>
          <w:szCs w:val="30"/>
        </w:rPr>
        <w:t>La maladie et la santé chez Hérodote</w:t>
      </w:r>
    </w:p>
    <w:p>
      <w:pPr>
        <w:pStyle w:val="Normal"/>
        <w:jc w:val="center"/>
        <w:rPr/>
      </w:pPr>
      <w:r>
        <w:rPr/>
      </w:r>
    </w:p>
    <w:sectPr>
      <w:headerReference w:type="default" r:id="rId7"/>
      <w:type w:val="nextPage"/>
      <w:pgSz w:w="11906" w:h="16838"/>
      <w:pgMar w:left="624" w:right="624" w:header="1758" w:top="1815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Courier New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Entte"/>
      <w:rPr>
        <w:lang w:val="fr-FR" w:eastAsia="fr-FR"/>
      </w:rPr>
    </w:pPr>
    <w:r>
      <w:rPr>
        <w:lang w:val="fr-FR" w:eastAsia="fr-FR"/>
      </w:rPr>
      <w:drawing>
        <wp:anchor behindDoc="1" distT="0" distB="0" distL="114935" distR="114935" simplePos="0" locked="0" layoutInCell="1" allowOverlap="1" relativeHeight="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92130"/>
          <wp:effectExtent l="0" t="0" r="0" b="0"/>
          <wp:wrapNone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Times New Roman" w:hAnsi="Times New Roman" w:eastAsia="Lucida Sans Unicode" w:cs="Times New Roman"/>
      <w:color w:val="00000A"/>
      <w:sz w:val="22"/>
      <w:szCs w:val="22"/>
      <w:lang w:val="fr-FR" w:eastAsia="zh-CN" w:bidi="ar-SA"/>
    </w:rPr>
  </w:style>
  <w:style w:type="character" w:styleId="WW8Num1z0">
    <w:name w:val="WW8Num1z0"/>
    <w:rPr>
      <w:rFonts w:ascii="Symbol" w:hAnsi="Symbol" w:cs="Symbol"/>
      <w:color w:val="000000"/>
    </w:rPr>
  </w:style>
  <w:style w:type="character" w:styleId="WW8Num1z1">
    <w:name w:val="WW8Num1z1"/>
    <w:rPr>
      <w:rFonts w:ascii="Courier New" w:hAnsi="Courier New" w:cs="Courier New"/>
    </w:rPr>
  </w:style>
  <w:style w:type="character" w:styleId="WW8Num1z2">
    <w:name w:val="WW8Num1z2"/>
    <w:rPr>
      <w:rFonts w:ascii="Wingdings" w:hAnsi="Wingdings" w:cs="Wingdings"/>
    </w:rPr>
  </w:style>
  <w:style w:type="character" w:styleId="WW8Num1z3">
    <w:name w:val="WW8Num1z3"/>
    <w:rPr>
      <w:rFonts w:ascii="Symbol" w:hAnsi="Symbol" w:cs="Symbol"/>
    </w:rPr>
  </w:style>
  <w:style w:type="character" w:styleId="Policepardfaut">
    <w:name w:val="Police par défaut"/>
    <w:rPr/>
  </w:style>
  <w:style w:type="character" w:styleId="AbsatzStandardschriftart">
    <w:name w:val="Absatz-Standardschriftart"/>
    <w:rPr/>
  </w:style>
  <w:style w:type="character" w:styleId="WWAbsatzStandardschriftart">
    <w:name w:val="WW-Absatz-Standardschriftart"/>
    <w:rPr/>
  </w:style>
  <w:style w:type="character" w:styleId="WWAbsatzStandardschriftart1">
    <w:name w:val="WW-Absatz-Standardschriftart1"/>
    <w:rPr/>
  </w:style>
  <w:style w:type="character" w:styleId="WWAbsatzStandardschriftart11">
    <w:name w:val="WW-Absatz-Standardschriftart11"/>
    <w:rPr/>
  </w:style>
  <w:style w:type="character" w:styleId="WWAbsatzStandardschriftart111">
    <w:name w:val="WW-Absatz-Standardschriftart111"/>
    <w:rPr/>
  </w:style>
  <w:style w:type="character" w:styleId="WWAbsatzStandardschriftart1111">
    <w:name w:val="WW-Absatz-Standardschriftart1111"/>
    <w:rPr/>
  </w:style>
  <w:style w:type="character" w:styleId="WWAbsatzStandardschriftart11111">
    <w:name w:val="WW-Absatz-Standardschriftart11111"/>
    <w:rPr/>
  </w:style>
  <w:style w:type="character" w:styleId="WWAbsatzStandardschriftart111111">
    <w:name w:val="WW-Absatz-Standardschriftart111111"/>
    <w:rPr/>
  </w:style>
  <w:style w:type="character" w:styleId="WWAbsatzStandardschriftart1111111">
    <w:name w:val="WW-Absatz-Standardschriftart1111111"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character" w:styleId="Accentuationforte">
    <w:name w:val="Accentuation forte"/>
    <w:rPr>
      <w:b/>
      <w:bCs/>
    </w:rPr>
  </w:style>
  <w:style w:type="character" w:styleId="Accentuation">
    <w:name w:val="Accentuation"/>
    <w:rPr>
      <w:i/>
      <w:iCs/>
    </w:rPr>
  </w:style>
  <w:style w:type="character" w:styleId="Ancredenotedebasdepage">
    <w:name w:val="Ancre de note de bas de page"/>
    <w:rPr>
      <w:vertAlign w:val="superscript"/>
    </w:rPr>
  </w:style>
  <w:style w:type="character" w:styleId="Ancredenotedefin">
    <w:name w:val="Ancre de note de fin"/>
    <w:rPr>
      <w:vertAlign w:val="superscript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20"/>
    </w:pPr>
    <w:rPr/>
  </w:style>
  <w:style w:type="paragraph" w:styleId="Liste">
    <w:name w:val="Liste"/>
    <w:basedOn w:val="Corpsdetexte"/>
    <w:pPr/>
    <w:rPr>
      <w:rFonts w:cs="Tahoma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Tahoma"/>
    </w:rPr>
  </w:style>
  <w:style w:type="paragraph" w:styleId="Titre1">
    <w:name w:val="Titre1"/>
    <w:basedOn w:val="Normal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pertoire">
    <w:name w:val="Répertoire"/>
    <w:basedOn w:val="Normal"/>
    <w:pPr>
      <w:suppressLineNumbers/>
    </w:pPr>
    <w:rPr>
      <w:rFonts w:cs="Tahoma"/>
    </w:rPr>
  </w:style>
  <w:style w:type="paragraph" w:styleId="Entte">
    <w:name w:val="En-tête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Pieddepage">
    <w:name w:val="Pied de page"/>
    <w:basedOn w:val="Normal"/>
    <w:pPr>
      <w:suppressLineNumbers/>
      <w:tabs>
        <w:tab w:val="center" w:pos="4818" w:leader="none"/>
        <w:tab w:val="right" w:pos="9637" w:leader="none"/>
      </w:tabs>
    </w:pPr>
    <w:rPr/>
  </w:style>
  <w:style w:type="paragraph" w:styleId="Textedebulles">
    <w:name w:val="Texte de bulles"/>
    <w:basedOn w:val="Normal"/>
    <w:pPr/>
    <w:rPr>
      <w:rFonts w:ascii="Tahoma" w:hAnsi="Tahoma" w:cs="Tahoma"/>
      <w:sz w:val="16"/>
      <w:szCs w:val="16"/>
    </w:rPr>
  </w:style>
  <w:style w:type="paragraph" w:styleId="Notedebasdepage">
    <w:name w:val="Note de bas de page"/>
    <w:basedOn w:val="Normal"/>
    <w:pPr>
      <w:suppressLineNumbers/>
      <w:ind w:left="339" w:right="0" w:hanging="339"/>
    </w:pPr>
    <w:rPr>
      <w:sz w:val="20"/>
      <w:szCs w:val="20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wmf"/><Relationship Id="rId4" Type="http://schemas.openxmlformats.org/officeDocument/2006/relationships/hyperlink" Target="http://ista.univ-fcomte.fr/" TargetMode="External"/><Relationship Id="rId5" Type="http://schemas.openxmlformats.org/officeDocument/2006/relationships/hyperlink" Target="http://www.philolab-besancon.org/" TargetMode="External"/><Relationship Id="rId6" Type="http://schemas.openxmlformats.org/officeDocument/2006/relationships/hyperlink" Target="mailto:cleisthenesworkshop@gmail.com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Innovation thérapeutique.dot</Template>
  <TotalTime>1367256704</TotalTime>
  <Application>LibreOffice/4.2.8.2$Linux_x86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2015-12-07T21:50:45Z</dcterms:created>
  <dc:language>fr-FR</dc:language>
  <cp:lastModifiedBy>jfrossar</cp:lastModifiedBy>
  <cp:lastPrinted>2010-10-22T12:13:00Z</cp:lastPrinted>
  <dcterms:modified xsi:type="dcterms:W3CDTF">2010-10-22T13:20:00Z</dcterms:modified>
  <cp:revision>2</cp:revision>
  <dc:title>mardi 30 mars 2010 à 20h</dc:title>
</cp:coreProperties>
</file>